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329A" w14:textId="35193537" w:rsidR="00E92D85" w:rsidRPr="0065523F" w:rsidRDefault="000F6B2C" w:rsidP="006E2C27">
      <w:pPr>
        <w:spacing w:after="0" w:line="300" w:lineRule="exact"/>
        <w:jc w:val="both"/>
        <w:rPr>
          <w:rFonts w:ascii="Arial" w:eastAsia="Times New Roman" w:hAnsi="Arial"/>
          <w:b/>
          <w:caps/>
          <w:color w:val="566B73"/>
          <w:sz w:val="26"/>
          <w:szCs w:val="26"/>
        </w:rPr>
      </w:pPr>
      <w:r>
        <w:rPr>
          <w:rFonts w:ascii="Arial" w:eastAsia="Times New Roman" w:hAnsi="Arial"/>
          <w:b/>
          <w:caps/>
          <w:color w:val="566B73"/>
          <w:sz w:val="26"/>
          <w:szCs w:val="26"/>
        </w:rPr>
        <w:t>APEAL</w:t>
      </w:r>
      <w:r w:rsidR="009C3E16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: </w:t>
      </w:r>
      <w:r w:rsidR="00714438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mixed signals from european parliament are no roadblock </w:t>
      </w:r>
      <w:r w:rsidR="009C3E16">
        <w:rPr>
          <w:rFonts w:ascii="Arial" w:eastAsia="Times New Roman" w:hAnsi="Arial"/>
          <w:b/>
          <w:caps/>
          <w:color w:val="566B73"/>
          <w:sz w:val="26"/>
          <w:szCs w:val="26"/>
        </w:rPr>
        <w:t>on</w:t>
      </w:r>
      <w:r w:rsidR="00F408BA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 </w:t>
      </w:r>
      <w:r w:rsidR="002D2C39" w:rsidRPr="0065523F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CONTINUED USE OF CHROMIUM TRIOXIDE IN TINPLATE </w:t>
      </w:r>
      <w:r w:rsidR="000F599E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AND </w:t>
      </w:r>
      <w:r w:rsidR="000F599E" w:rsidRPr="00F564B4">
        <w:rPr>
          <w:rFonts w:ascii="Arial" w:eastAsia="Times New Roman" w:hAnsi="Arial"/>
          <w:b/>
          <w:caps/>
          <w:color w:val="566B73"/>
          <w:sz w:val="26"/>
          <w:szCs w:val="26"/>
        </w:rPr>
        <w:t>Tin-Free</w:t>
      </w:r>
      <w:r w:rsidR="000F599E" w:rsidRPr="0065523F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 </w:t>
      </w:r>
      <w:r w:rsidR="002D2C39" w:rsidRPr="0065523F">
        <w:rPr>
          <w:rFonts w:ascii="Arial" w:eastAsia="Times New Roman" w:hAnsi="Arial"/>
          <w:b/>
          <w:caps/>
          <w:color w:val="566B73"/>
          <w:sz w:val="26"/>
          <w:szCs w:val="26"/>
        </w:rPr>
        <w:t>STEEL</w:t>
      </w:r>
      <w:r w:rsidR="00F564B4">
        <w:rPr>
          <w:rFonts w:ascii="Arial" w:eastAsia="Times New Roman" w:hAnsi="Arial"/>
          <w:b/>
          <w:caps/>
          <w:color w:val="566B73"/>
          <w:sz w:val="26"/>
          <w:szCs w:val="26"/>
        </w:rPr>
        <w:t xml:space="preserve"> </w:t>
      </w:r>
    </w:p>
    <w:p w14:paraId="6E274D69" w14:textId="77777777" w:rsidR="00391472" w:rsidRPr="0065523F" w:rsidRDefault="00391472" w:rsidP="006E2C27">
      <w:pPr>
        <w:spacing w:after="0" w:line="300" w:lineRule="exact"/>
        <w:jc w:val="both"/>
        <w:rPr>
          <w:sz w:val="24"/>
          <w:szCs w:val="24"/>
        </w:rPr>
      </w:pPr>
    </w:p>
    <w:p w14:paraId="540F1508" w14:textId="7D744EA2" w:rsidR="00C327D4" w:rsidRDefault="00C327D4" w:rsidP="00C327D4">
      <w:pPr>
        <w:jc w:val="both"/>
      </w:pPr>
      <w:r w:rsidRPr="00C327D4">
        <w:t xml:space="preserve">APEAL, the Association of European Producers of Steel for Packaging, </w:t>
      </w:r>
      <w:r w:rsidR="00484443">
        <w:t xml:space="preserve">takes </w:t>
      </w:r>
      <w:r w:rsidR="006F13E3">
        <w:t>note</w:t>
      </w:r>
      <w:r w:rsidRPr="00C327D4">
        <w:t xml:space="preserve"> </w:t>
      </w:r>
      <w:r w:rsidR="00484443">
        <w:t xml:space="preserve">of </w:t>
      </w:r>
      <w:r w:rsidR="006F13E3">
        <w:t xml:space="preserve">the </w:t>
      </w:r>
      <w:r w:rsidR="00484443">
        <w:t>objection</w:t>
      </w:r>
      <w:r w:rsidR="006F13E3">
        <w:t xml:space="preserve"> of the</w:t>
      </w:r>
      <w:r w:rsidR="00E73499">
        <w:t xml:space="preserve"> E</w:t>
      </w:r>
      <w:r w:rsidR="003F5288">
        <w:t xml:space="preserve">uropean </w:t>
      </w:r>
      <w:r w:rsidR="00E73499">
        <w:t>P</w:t>
      </w:r>
      <w:r w:rsidR="003F5288">
        <w:t>arliament (EP)</w:t>
      </w:r>
      <w:r w:rsidR="00E73499">
        <w:t xml:space="preserve"> </w:t>
      </w:r>
      <w:r w:rsidR="006F13E3">
        <w:t>on the</w:t>
      </w:r>
      <w:r w:rsidRPr="00C327D4">
        <w:t xml:space="preserve"> authorisation for continued uses of chromium trioxide</w:t>
      </w:r>
      <w:r w:rsidR="00E73499" w:rsidRPr="00E73499">
        <w:t xml:space="preserve"> </w:t>
      </w:r>
      <w:r w:rsidR="00E73499" w:rsidRPr="00C327D4">
        <w:t>in many industries, including the automotive, aerospace, defence, as well as for the passivation of tinplated steel (ETP) and Tin-Free Steel / Electrolytic Chromium Coated Steel (ECCS).</w:t>
      </w:r>
    </w:p>
    <w:p w14:paraId="212B63F2" w14:textId="1E47C854" w:rsidR="00DB0EEC" w:rsidRDefault="008F5799" w:rsidP="00760A6D">
      <w:pPr>
        <w:jc w:val="both"/>
      </w:pPr>
      <w:r>
        <w:t xml:space="preserve">Following </w:t>
      </w:r>
      <w:r w:rsidR="005F3F30">
        <w:t>the initial</w:t>
      </w:r>
      <w:r>
        <w:t xml:space="preserve"> resolution which objected outright to the granting of an authorisation, t</w:t>
      </w:r>
      <w:r w:rsidR="00DB0EEC" w:rsidRPr="00DB0EEC">
        <w:t xml:space="preserve">he </w:t>
      </w:r>
      <w:r w:rsidR="00DB0EEC">
        <w:t xml:space="preserve">European </w:t>
      </w:r>
      <w:r w:rsidR="00DB0EEC" w:rsidRPr="00DB0EEC">
        <w:t>Parliament</w:t>
      </w:r>
      <w:r w:rsidR="00DB0EEC">
        <w:t xml:space="preserve"> (EP)</w:t>
      </w:r>
      <w:r w:rsidR="00DB0EEC" w:rsidRPr="00DB0EEC">
        <w:t xml:space="preserve"> has </w:t>
      </w:r>
      <w:r>
        <w:t xml:space="preserve">instead </w:t>
      </w:r>
      <w:r w:rsidR="00DB0EEC" w:rsidRPr="00DB0EEC">
        <w:t xml:space="preserve">chosen not to reject the authorisation but </w:t>
      </w:r>
      <w:r w:rsidR="00D8640B">
        <w:t xml:space="preserve">to </w:t>
      </w:r>
      <w:r w:rsidR="00DB0EEC" w:rsidRPr="00DB0EEC">
        <w:t xml:space="preserve">ask, by a slim majority (309 in favour, 286 against and 24 abstentions), </w:t>
      </w:r>
      <w:r w:rsidR="006F6634">
        <w:t>that</w:t>
      </w:r>
      <w:r w:rsidR="00DB0EEC">
        <w:t xml:space="preserve"> </w:t>
      </w:r>
      <w:r w:rsidR="00DB0EEC" w:rsidRPr="00DB0EEC">
        <w:t>the E</w:t>
      </w:r>
      <w:r w:rsidR="00DB0EEC">
        <w:t xml:space="preserve">uropean </w:t>
      </w:r>
      <w:r w:rsidR="00DB0EEC" w:rsidRPr="00DB0EEC">
        <w:t>C</w:t>
      </w:r>
      <w:r w:rsidR="00DB0EEC">
        <w:t xml:space="preserve">ommission (EC) </w:t>
      </w:r>
      <w:r w:rsidR="00DB0EEC" w:rsidRPr="00DB0EEC">
        <w:t>review</w:t>
      </w:r>
      <w:r>
        <w:t>s</w:t>
      </w:r>
      <w:r w:rsidR="00DB0EEC" w:rsidRPr="00DB0EEC">
        <w:t xml:space="preserve"> its draft decision, demonstrating the division within the EP on this issue. The </w:t>
      </w:r>
      <w:r w:rsidR="00DB0EEC">
        <w:t>EP</w:t>
      </w:r>
      <w:r w:rsidR="00DB0EEC" w:rsidRPr="00DB0EEC">
        <w:t xml:space="preserve"> also considered that the </w:t>
      </w:r>
      <w:r w:rsidR="00DB0EEC">
        <w:t>Commission</w:t>
      </w:r>
      <w:r w:rsidR="00DB0EEC" w:rsidRPr="00DB0EEC">
        <w:t xml:space="preserve"> did not exceed its implementing powers</w:t>
      </w:r>
      <w:r w:rsidR="003928B9">
        <w:t>,</w:t>
      </w:r>
      <w:r w:rsidR="00DB0EEC" w:rsidRPr="00DB0EEC">
        <w:t xml:space="preserve"> provided for in the REACH regulation</w:t>
      </w:r>
      <w:r w:rsidR="003928B9">
        <w:t>,</w:t>
      </w:r>
      <w:r w:rsidR="00DB0EEC" w:rsidRPr="00DB0EEC">
        <w:t xml:space="preserve"> </w:t>
      </w:r>
      <w:r w:rsidR="00DB0EEC">
        <w:t>concerning</w:t>
      </w:r>
      <w:r w:rsidR="00DB0EEC" w:rsidRPr="00DB0EEC">
        <w:t xml:space="preserve"> th</w:t>
      </w:r>
      <w:r w:rsidR="00D8640B">
        <w:t>is</w:t>
      </w:r>
      <w:r w:rsidR="00DB0EEC" w:rsidRPr="00DB0EEC">
        <w:t xml:space="preserve"> authorisation</w:t>
      </w:r>
      <w:r w:rsidR="00D8640B">
        <w:t xml:space="preserve"> application</w:t>
      </w:r>
      <w:r w:rsidR="00DB0EEC" w:rsidRPr="00DB0EEC">
        <w:t xml:space="preserve">. APEAL very much welcomes these key provisions introduced in the final resolution. </w:t>
      </w:r>
    </w:p>
    <w:p w14:paraId="4273A734" w14:textId="514EA1BB" w:rsidR="00760A6D" w:rsidRDefault="00A76E35" w:rsidP="00760A6D">
      <w:pPr>
        <w:jc w:val="both"/>
      </w:pPr>
      <w:r>
        <w:t xml:space="preserve">APEAL notes that the vote </w:t>
      </w:r>
      <w:r w:rsidR="00DB0EEC">
        <w:t>ca</w:t>
      </w:r>
      <w:r>
        <w:t xml:space="preserve">me without </w:t>
      </w:r>
      <w:r w:rsidRPr="00760A6D">
        <w:t>in-depth debate within the EP E</w:t>
      </w:r>
      <w:r>
        <w:t>nvironment parliamentary</w:t>
      </w:r>
      <w:r w:rsidRPr="00760A6D">
        <w:t xml:space="preserve"> committee on a resolution that could potentially have an important impact throughout the EU</w:t>
      </w:r>
      <w:r>
        <w:t>.</w:t>
      </w:r>
    </w:p>
    <w:p w14:paraId="2AE02407" w14:textId="6C62C907" w:rsidR="00760A6D" w:rsidRDefault="00A76E35" w:rsidP="00760A6D">
      <w:pPr>
        <w:jc w:val="both"/>
      </w:pPr>
      <w:r>
        <w:t>APEAL would like to re-iterate that</w:t>
      </w:r>
      <w:r w:rsidR="00760A6D" w:rsidRPr="00760A6D">
        <w:t xml:space="preserve"> </w:t>
      </w:r>
      <w:r>
        <w:t xml:space="preserve">the EC draft decision received </w:t>
      </w:r>
      <w:r w:rsidR="00760A6D">
        <w:t>the support of 24 of the 28 Member States</w:t>
      </w:r>
      <w:r w:rsidR="00760A6D" w:rsidRPr="00C327D4">
        <w:t xml:space="preserve"> </w:t>
      </w:r>
      <w:r w:rsidR="00760A6D">
        <w:t xml:space="preserve">in the </w:t>
      </w:r>
      <w:r w:rsidR="00760A6D" w:rsidRPr="00C327D4">
        <w:t>EC’s REACH committee</w:t>
      </w:r>
      <w:r w:rsidR="00760A6D">
        <w:t xml:space="preserve"> </w:t>
      </w:r>
      <w:r w:rsidR="00760A6D" w:rsidRPr="00C327D4">
        <w:t xml:space="preserve">based on </w:t>
      </w:r>
      <w:r w:rsidR="00760A6D">
        <w:t xml:space="preserve">expert </w:t>
      </w:r>
      <w:r w:rsidR="00760A6D" w:rsidRPr="00C327D4">
        <w:t>scientific advice from the European Chemicals Agency</w:t>
      </w:r>
      <w:r w:rsidR="00760A6D">
        <w:t xml:space="preserve">, </w:t>
      </w:r>
      <w:r w:rsidR="00760A6D" w:rsidRPr="00C327D4">
        <w:t xml:space="preserve">and following many years of analysis by the EC itself. </w:t>
      </w:r>
    </w:p>
    <w:p w14:paraId="49542BE4" w14:textId="44CB6907" w:rsidR="00203CDF" w:rsidRDefault="004E3C03" w:rsidP="00E73499">
      <w:pPr>
        <w:spacing w:line="300" w:lineRule="exact"/>
        <w:jc w:val="both"/>
      </w:pPr>
      <w:r>
        <w:t xml:space="preserve">The EC is now invited to proceed </w:t>
      </w:r>
      <w:r w:rsidR="00760A6D">
        <w:t>quickly, review the EP position and publish their final Decision as soon as possible.</w:t>
      </w:r>
      <w:r w:rsidR="00A76E35">
        <w:t xml:space="preserve"> </w:t>
      </w:r>
      <w:r w:rsidR="00C7243C">
        <w:t xml:space="preserve">APEAL </w:t>
      </w:r>
      <w:r w:rsidR="00E54034">
        <w:t>are confident that the EC can now move forward with the granting of the authorisation</w:t>
      </w:r>
      <w:r w:rsidR="006F13E3">
        <w:t>.</w:t>
      </w:r>
    </w:p>
    <w:p w14:paraId="75B843B0" w14:textId="38CA8C87" w:rsidR="00C327D4" w:rsidRDefault="00C327D4" w:rsidP="00C327D4">
      <w:pPr>
        <w:spacing w:after="0" w:line="300" w:lineRule="exact"/>
        <w:jc w:val="both"/>
        <w:rPr>
          <w:rFonts w:asciiTheme="minorHAnsi" w:hAnsiTheme="minorHAnsi"/>
          <w:sz w:val="24"/>
          <w:szCs w:val="24"/>
        </w:rPr>
      </w:pPr>
    </w:p>
    <w:p w14:paraId="4D7DE604" w14:textId="71EE1286" w:rsidR="00760A6D" w:rsidRDefault="00760A6D" w:rsidP="00C327D4">
      <w:pPr>
        <w:spacing w:after="0" w:line="300" w:lineRule="exact"/>
        <w:jc w:val="both"/>
        <w:rPr>
          <w:rFonts w:asciiTheme="minorHAnsi" w:hAnsiTheme="minorHAnsi"/>
          <w:sz w:val="24"/>
          <w:szCs w:val="24"/>
        </w:rPr>
      </w:pPr>
    </w:p>
    <w:p w14:paraId="55498E2C" w14:textId="77777777" w:rsidR="00760A6D" w:rsidRPr="0065523F" w:rsidRDefault="00760A6D" w:rsidP="00C327D4">
      <w:pPr>
        <w:spacing w:after="0" w:line="300" w:lineRule="exact"/>
        <w:jc w:val="both"/>
        <w:rPr>
          <w:rFonts w:asciiTheme="minorHAnsi" w:hAnsiTheme="minorHAnsi"/>
          <w:sz w:val="24"/>
          <w:szCs w:val="24"/>
        </w:rPr>
      </w:pPr>
    </w:p>
    <w:p w14:paraId="3AE06554" w14:textId="3F206210" w:rsidR="00237102" w:rsidRPr="0065523F" w:rsidRDefault="00237102" w:rsidP="006E2C27">
      <w:pPr>
        <w:spacing w:after="0" w:line="300" w:lineRule="exact"/>
        <w:jc w:val="both"/>
        <w:rPr>
          <w:rFonts w:asciiTheme="minorHAnsi" w:hAnsiTheme="minorHAnsi"/>
          <w:b/>
          <w:sz w:val="24"/>
          <w:szCs w:val="24"/>
        </w:rPr>
      </w:pPr>
      <w:r w:rsidRPr="0065523F">
        <w:rPr>
          <w:rFonts w:asciiTheme="minorHAnsi" w:hAnsiTheme="minorHAnsi"/>
          <w:b/>
          <w:sz w:val="24"/>
          <w:szCs w:val="24"/>
        </w:rPr>
        <w:t>ENDS</w:t>
      </w:r>
    </w:p>
    <w:p w14:paraId="07D4D329" w14:textId="77777777" w:rsidR="00A96104" w:rsidRPr="0065523F" w:rsidRDefault="00A96104" w:rsidP="006E2C2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EA1D3A" w:rsidRPr="0065523F" w14:paraId="7DC1360F" w14:textId="77777777" w:rsidTr="0068354F">
        <w:trPr>
          <w:trHeight w:val="2220"/>
        </w:trPr>
        <w:tc>
          <w:tcPr>
            <w:tcW w:w="5542" w:type="dxa"/>
          </w:tcPr>
          <w:p w14:paraId="0AB57961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 w:rsidRPr="0065523F"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lastRenderedPageBreak/>
              <w:t>Media enquiries:</w:t>
            </w:r>
          </w:p>
          <w:p w14:paraId="6EFE3B87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2A3E9A36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Michael Be</w:t>
            </w:r>
            <w:r w:rsidRPr="0065523F">
              <w:rPr>
                <w:sz w:val="24"/>
                <w:szCs w:val="24"/>
              </w:rPr>
              <w:t>n</w:t>
            </w: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nett</w:t>
            </w:r>
          </w:p>
          <w:p w14:paraId="3EAEE04F" w14:textId="77777777" w:rsidR="0052599A" w:rsidRPr="0065523F" w:rsidRDefault="00031A14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Pelican Communications </w:t>
            </w:r>
          </w:p>
          <w:p w14:paraId="55E0169B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Email: </w:t>
            </w:r>
            <w:hyperlink r:id="rId8" w:history="1">
              <w:r w:rsidR="00031A14" w:rsidRPr="0065523F">
                <w:rPr>
                  <w:rStyle w:val="Hyperlink"/>
                  <w:sz w:val="24"/>
                  <w:szCs w:val="24"/>
                </w:rPr>
                <w:t>michael.bennett@pelicomms.co.uk</w:t>
              </w:r>
            </w:hyperlink>
            <w:r w:rsidR="00031A14" w:rsidRPr="0065523F">
              <w:rPr>
                <w:sz w:val="24"/>
                <w:szCs w:val="24"/>
              </w:rPr>
              <w:t xml:space="preserve"> </w:t>
            </w: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 </w:t>
            </w:r>
          </w:p>
          <w:p w14:paraId="10D02555" w14:textId="77777777" w:rsidR="0052599A" w:rsidRPr="0065523F" w:rsidRDefault="0052599A" w:rsidP="006E2C27">
            <w:pPr>
              <w:pStyle w:val="FootnoteText"/>
              <w:jc w:val="both"/>
              <w:rPr>
                <w:sz w:val="24"/>
                <w:szCs w:val="24"/>
              </w:rPr>
            </w:pPr>
          </w:p>
          <w:p w14:paraId="1C34EC5F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</w:tc>
        <w:tc>
          <w:tcPr>
            <w:tcW w:w="4166" w:type="dxa"/>
          </w:tcPr>
          <w:p w14:paraId="355CBEB8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</w:pPr>
            <w:r w:rsidRPr="0065523F">
              <w:rPr>
                <w:rStyle w:val="FootnoteReference"/>
                <w:i/>
                <w:sz w:val="24"/>
                <w:szCs w:val="24"/>
                <w:u w:val="single"/>
                <w:vertAlign w:val="baseline"/>
              </w:rPr>
              <w:t xml:space="preserve">APEAL: </w:t>
            </w:r>
          </w:p>
          <w:p w14:paraId="420D7A4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1A17C83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Patricia Mobbs</w:t>
            </w:r>
          </w:p>
          <w:p w14:paraId="1D67923C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>Communications Manager</w:t>
            </w:r>
          </w:p>
          <w:p w14:paraId="2961D580" w14:textId="77777777" w:rsidR="0052599A" w:rsidRPr="0065523F" w:rsidRDefault="0052599A" w:rsidP="006E2C27">
            <w:pPr>
              <w:pStyle w:val="FootnoteText"/>
              <w:jc w:val="both"/>
              <w:rPr>
                <w:sz w:val="24"/>
                <w:szCs w:val="24"/>
              </w:rPr>
            </w:pPr>
            <w:r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E-mail: </w:t>
            </w:r>
            <w:hyperlink r:id="rId9" w:history="1">
              <w:r w:rsidRPr="0065523F">
                <w:rPr>
                  <w:rStyle w:val="FootnoteReference"/>
                  <w:sz w:val="24"/>
                  <w:szCs w:val="24"/>
                  <w:vertAlign w:val="baseline"/>
                </w:rPr>
                <w:t>p.mobbs@apeal.be</w:t>
              </w:r>
            </w:hyperlink>
          </w:p>
          <w:p w14:paraId="294850D7" w14:textId="77777777" w:rsidR="0052599A" w:rsidRPr="0065523F" w:rsidRDefault="005773A2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  <w:hyperlink r:id="rId10" w:history="1">
              <w:r w:rsidR="0052599A" w:rsidRPr="0065523F">
                <w:rPr>
                  <w:rStyle w:val="Hyperlink"/>
                  <w:color w:val="auto"/>
                  <w:sz w:val="24"/>
                  <w:szCs w:val="24"/>
                </w:rPr>
                <w:t>www.apeal.org</w:t>
              </w:r>
            </w:hyperlink>
            <w:r w:rsidR="0052599A" w:rsidRPr="0065523F">
              <w:rPr>
                <w:rStyle w:val="FootnoteReference"/>
                <w:sz w:val="24"/>
                <w:szCs w:val="24"/>
                <w:vertAlign w:val="baseline"/>
              </w:rPr>
              <w:t xml:space="preserve">  </w:t>
            </w:r>
          </w:p>
          <w:p w14:paraId="56520A91" w14:textId="77777777" w:rsidR="0052599A" w:rsidRPr="0065523F" w:rsidRDefault="005773A2" w:rsidP="006E2C27">
            <w:pPr>
              <w:pStyle w:val="FootnoteText"/>
              <w:jc w:val="both"/>
              <w:rPr>
                <w:sz w:val="24"/>
                <w:szCs w:val="24"/>
              </w:rPr>
            </w:pPr>
            <w:hyperlink r:id="rId11" w:history="1">
              <w:r w:rsidR="0052599A" w:rsidRPr="0065523F">
                <w:rPr>
                  <w:rStyle w:val="Hyperlink"/>
                  <w:color w:val="auto"/>
                  <w:sz w:val="24"/>
                  <w:szCs w:val="24"/>
                </w:rPr>
                <w:t>www.steelforpackaging.org</w:t>
              </w:r>
            </w:hyperlink>
          </w:p>
          <w:p w14:paraId="246C3AF0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  <w:p w14:paraId="671DCFFE" w14:textId="77777777" w:rsidR="0052599A" w:rsidRPr="0065523F" w:rsidRDefault="0052599A" w:rsidP="006E2C27">
            <w:pPr>
              <w:pStyle w:val="FootnoteText"/>
              <w:jc w:val="both"/>
              <w:rPr>
                <w:rStyle w:val="FootnoteReference"/>
                <w:sz w:val="24"/>
                <w:szCs w:val="24"/>
                <w:vertAlign w:val="baseline"/>
              </w:rPr>
            </w:pPr>
          </w:p>
        </w:tc>
      </w:tr>
    </w:tbl>
    <w:p w14:paraId="7843E823" w14:textId="77777777" w:rsidR="00C76250" w:rsidRPr="0065523F" w:rsidRDefault="00C76250" w:rsidP="006E2C27">
      <w:pPr>
        <w:pStyle w:val="FootnoteText"/>
        <w:jc w:val="both"/>
        <w:rPr>
          <w:rFonts w:cs="Calibri"/>
          <w:b/>
        </w:rPr>
      </w:pPr>
    </w:p>
    <w:p w14:paraId="4EDFA8A2" w14:textId="761BB3F9" w:rsidR="0052599A" w:rsidRPr="0065523F" w:rsidRDefault="0052599A" w:rsidP="006E2C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5523F">
        <w:rPr>
          <w:rFonts w:cs="Calibri"/>
          <w:b/>
          <w:sz w:val="20"/>
          <w:szCs w:val="20"/>
        </w:rPr>
        <w:t>About APEAL</w:t>
      </w:r>
    </w:p>
    <w:p w14:paraId="75552E02" w14:textId="77777777" w:rsidR="0052599A" w:rsidRPr="0065523F" w:rsidRDefault="0052599A" w:rsidP="006E2C27">
      <w:pPr>
        <w:pStyle w:val="FootnoteText"/>
        <w:jc w:val="both"/>
        <w:rPr>
          <w:vertAlign w:val="superscript"/>
        </w:rPr>
      </w:pPr>
      <w:r w:rsidRPr="0065523F">
        <w:rPr>
          <w:rFonts w:cs="Calibri"/>
        </w:rPr>
        <w:t>APEAL - the Association of European Producers of Steel for Packaging is a federation of four multi-national producers of steel for packaging (Arcelo</w:t>
      </w:r>
      <w:r w:rsidR="00B778FB" w:rsidRPr="0065523F">
        <w:rPr>
          <w:rFonts w:cs="Calibri"/>
        </w:rPr>
        <w:t xml:space="preserve">rMittal, Tata Steel Packaging, </w:t>
      </w:r>
      <w:proofErr w:type="spellStart"/>
      <w:r w:rsidR="00B778FB" w:rsidRPr="0065523F">
        <w:rPr>
          <w:rFonts w:cs="Calibri"/>
        </w:rPr>
        <w:t>thyssenk</w:t>
      </w:r>
      <w:r w:rsidRPr="0065523F">
        <w:rPr>
          <w:rFonts w:cs="Calibri"/>
        </w:rPr>
        <w:t>rupp</w:t>
      </w:r>
      <w:proofErr w:type="spellEnd"/>
      <w:r w:rsidRPr="0065523F">
        <w:rPr>
          <w:rFonts w:cs="Calibri"/>
        </w:rPr>
        <w:t xml:space="preserve"> </w:t>
      </w:r>
      <w:proofErr w:type="spellStart"/>
      <w:r w:rsidRPr="0065523F">
        <w:rPr>
          <w:rFonts w:cs="Calibri"/>
        </w:rPr>
        <w:t>Rasselstein</w:t>
      </w:r>
      <w:proofErr w:type="spellEnd"/>
      <w:r w:rsidRPr="0065523F">
        <w:rPr>
          <w:rFonts w:cs="Calibri"/>
        </w:rPr>
        <w:t xml:space="preserve">, U.S. Steel </w:t>
      </w:r>
      <w:proofErr w:type="spellStart"/>
      <w:r w:rsidRPr="0065523F">
        <w:rPr>
          <w:rFonts w:cs="Calibri"/>
        </w:rPr>
        <w:t>Košice</w:t>
      </w:r>
      <w:proofErr w:type="spellEnd"/>
      <w:r w:rsidRPr="0065523F">
        <w:rPr>
          <w:rFonts w:cs="Calibri"/>
        </w:rPr>
        <w:t xml:space="preserve">). In total these four companies employ over 200,000 workers in </w:t>
      </w:r>
      <w:smartTag w:uri="urn:schemas-microsoft-com:office:smarttags" w:element="place">
        <w:r w:rsidRPr="0065523F">
          <w:rPr>
            <w:rFonts w:cs="Calibri"/>
          </w:rPr>
          <w:t>Europe</w:t>
        </w:r>
      </w:smartTag>
      <w:r w:rsidRPr="0065523F">
        <w:rPr>
          <w:rFonts w:cs="Calibri"/>
        </w:rPr>
        <w:t>. Founded in 1986, APEAL represents today about 95% of the total European production of steel for packaging.</w:t>
      </w:r>
    </w:p>
    <w:p w14:paraId="5FD2F6CA" w14:textId="77777777" w:rsidR="0052599A" w:rsidRPr="0065523F" w:rsidRDefault="0052599A" w:rsidP="006E2C27">
      <w:pPr>
        <w:pStyle w:val="FootnoteText"/>
        <w:jc w:val="both"/>
      </w:pPr>
    </w:p>
    <w:p w14:paraId="3B528B29" w14:textId="77777777" w:rsidR="0052599A" w:rsidRPr="0065523F" w:rsidRDefault="0052599A" w:rsidP="006E2C27">
      <w:pPr>
        <w:pStyle w:val="FootnoteText"/>
        <w:jc w:val="both"/>
        <w:rPr>
          <w:rFonts w:cs="Calibri"/>
          <w:b/>
        </w:rPr>
      </w:pPr>
      <w:r w:rsidRPr="0065523F">
        <w:rPr>
          <w:rFonts w:cs="Calibri"/>
          <w:b/>
        </w:rPr>
        <w:t>About Steel for Packaging</w:t>
      </w:r>
    </w:p>
    <w:p w14:paraId="68B16D52" w14:textId="77777777" w:rsidR="0052599A" w:rsidRPr="0065523F" w:rsidRDefault="0052599A" w:rsidP="006E2C27">
      <w:pPr>
        <w:spacing w:line="240" w:lineRule="auto"/>
        <w:jc w:val="both"/>
        <w:rPr>
          <w:rFonts w:cs="Calibri"/>
          <w:sz w:val="20"/>
          <w:szCs w:val="20"/>
        </w:rPr>
      </w:pPr>
      <w:r w:rsidRPr="0065523F">
        <w:rPr>
          <w:rFonts w:cs="Calibri"/>
          <w:sz w:val="20"/>
          <w:szCs w:val="20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14:paraId="79BBE34A" w14:textId="77777777" w:rsidR="0052599A" w:rsidRPr="0065523F" w:rsidRDefault="0052599A" w:rsidP="006E2C27">
      <w:pPr>
        <w:jc w:val="both"/>
      </w:pPr>
    </w:p>
    <w:sectPr w:rsidR="0052599A" w:rsidRPr="0065523F" w:rsidSect="000608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89E0" w14:textId="77777777" w:rsidR="00510BC8" w:rsidRDefault="00510BC8" w:rsidP="006E648F">
      <w:pPr>
        <w:spacing w:after="0" w:line="240" w:lineRule="auto"/>
      </w:pPr>
      <w:r>
        <w:separator/>
      </w:r>
    </w:p>
  </w:endnote>
  <w:endnote w:type="continuationSeparator" w:id="0">
    <w:p w14:paraId="0D7C4687" w14:textId="77777777" w:rsidR="00510BC8" w:rsidRDefault="00510BC8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57E5" w14:textId="77777777" w:rsidR="005773A2" w:rsidRDefault="00577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FED7" w14:textId="77777777" w:rsidR="0052599A" w:rsidRDefault="0052599A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15B651A7" w14:textId="77777777" w:rsidR="0052599A" w:rsidRPr="006D2B21" w:rsidRDefault="0052599A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0E673B74" w14:textId="77777777" w:rsidR="0052599A" w:rsidRPr="006D2B21" w:rsidRDefault="00C44CFB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1F08D1FB" wp14:editId="306C5530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9A" w:rsidRPr="002C6DB4">
      <w:rPr>
        <w:noProof/>
        <w:color w:val="566B73"/>
        <w:sz w:val="16"/>
        <w:szCs w:val="16"/>
        <w:lang w:val="en-GB" w:eastAsia="fr-BE"/>
      </w:rPr>
      <w:t xml:space="preserve">Avenue Ariane, 5 </w:t>
    </w:r>
    <w:r w:rsidR="0052599A">
      <w:rPr>
        <w:color w:val="566B73"/>
        <w:sz w:val="16"/>
        <w:szCs w:val="16"/>
        <w:lang w:val="en-US"/>
      </w:rPr>
      <w:t xml:space="preserve"> - BE-120</w:t>
    </w:r>
    <w:r w:rsidR="0052599A" w:rsidRPr="006D2B21">
      <w:rPr>
        <w:color w:val="566B73"/>
        <w:sz w:val="16"/>
        <w:szCs w:val="16"/>
        <w:lang w:val="en-US"/>
      </w:rPr>
      <w:t xml:space="preserve">0 </w:t>
    </w:r>
    <w:smartTag w:uri="urn:schemas-microsoft-com:office:smarttags" w:element="City">
      <w:r w:rsidR="0052599A" w:rsidRPr="006D2B21">
        <w:rPr>
          <w:color w:val="566B73"/>
          <w:sz w:val="16"/>
          <w:szCs w:val="16"/>
          <w:lang w:val="en-US"/>
        </w:rPr>
        <w:t>Brussels</w:t>
      </w:r>
    </w:smartTag>
    <w:r w:rsidR="0052599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52599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29608511" w14:textId="77777777" w:rsidR="0052599A" w:rsidRPr="006D2B21" w:rsidRDefault="0052599A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76DDB24B" w14:textId="77777777" w:rsidR="0052599A" w:rsidRPr="006D2B21" w:rsidRDefault="0052599A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49F8" w14:textId="77777777" w:rsidR="0052599A" w:rsidRDefault="0052599A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4428AEEC" w14:textId="77777777" w:rsidR="0052599A" w:rsidRPr="006D2B21" w:rsidRDefault="0052599A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67CB68ED" w14:textId="77777777" w:rsidR="0052599A" w:rsidRPr="006D2B21" w:rsidRDefault="00C44CFB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225BD792" wp14:editId="3869CE89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9A">
      <w:rPr>
        <w:color w:val="566B73"/>
        <w:sz w:val="16"/>
        <w:szCs w:val="16"/>
        <w:lang w:val="en-US"/>
      </w:rPr>
      <w:t>Avenue Ariane</w:t>
    </w:r>
    <w:r w:rsidR="0052599A" w:rsidRPr="006D2B21">
      <w:rPr>
        <w:color w:val="566B73"/>
        <w:sz w:val="16"/>
        <w:szCs w:val="16"/>
        <w:lang w:val="en-US"/>
      </w:rPr>
      <w:t>,</w:t>
    </w:r>
    <w:r w:rsidR="0052599A">
      <w:rPr>
        <w:color w:val="566B73"/>
        <w:sz w:val="16"/>
        <w:szCs w:val="16"/>
        <w:lang w:val="en-US"/>
      </w:rPr>
      <w:t xml:space="preserve"> 5</w:t>
    </w:r>
    <w:r w:rsidR="0052599A" w:rsidRPr="006D2B21">
      <w:rPr>
        <w:color w:val="566B73"/>
        <w:sz w:val="16"/>
        <w:szCs w:val="16"/>
        <w:lang w:val="en-US"/>
      </w:rPr>
      <w:t xml:space="preserve"> - BE-1</w:t>
    </w:r>
    <w:r w:rsidR="0052599A">
      <w:rPr>
        <w:color w:val="566B73"/>
        <w:sz w:val="16"/>
        <w:szCs w:val="16"/>
        <w:lang w:val="en-US"/>
      </w:rPr>
      <w:t>200</w:t>
    </w:r>
    <w:r w:rsidR="0052599A" w:rsidRPr="006D2B21">
      <w:rPr>
        <w:color w:val="566B73"/>
        <w:sz w:val="16"/>
        <w:szCs w:val="16"/>
        <w:lang w:val="en-US"/>
      </w:rPr>
      <w:t xml:space="preserve"> </w:t>
    </w:r>
    <w:smartTag w:uri="urn:schemas-microsoft-com:office:smarttags" w:element="City">
      <w:r w:rsidR="0052599A" w:rsidRPr="006D2B21">
        <w:rPr>
          <w:color w:val="566B73"/>
          <w:sz w:val="16"/>
          <w:szCs w:val="16"/>
          <w:lang w:val="en-US"/>
        </w:rPr>
        <w:t>Brussels</w:t>
      </w:r>
    </w:smartTag>
    <w:r w:rsidR="0052599A" w:rsidRPr="006D2B21">
      <w:rPr>
        <w:color w:val="566B73"/>
        <w:sz w:val="16"/>
        <w:szCs w:val="16"/>
        <w:lang w:val="en-US"/>
      </w:rPr>
      <w:t xml:space="preserve"> - </w:t>
    </w:r>
    <w:smartTag w:uri="urn:schemas-microsoft-com:office:smarttags" w:element="place">
      <w:smartTag w:uri="urn:schemas-microsoft-com:office:smarttags" w:element="country-region">
        <w:r w:rsidR="0052599A" w:rsidRPr="006D2B21">
          <w:rPr>
            <w:color w:val="566B73"/>
            <w:sz w:val="16"/>
            <w:szCs w:val="16"/>
            <w:lang w:val="en-US"/>
          </w:rPr>
          <w:t>Belgium</w:t>
        </w:r>
      </w:smartTag>
    </w:smartTag>
  </w:p>
  <w:p w14:paraId="01853A19" w14:textId="77777777" w:rsidR="0052599A" w:rsidRPr="006D2B21" w:rsidRDefault="0052599A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14:paraId="6F127711" w14:textId="77777777" w:rsidR="0052599A" w:rsidRPr="00B0783A" w:rsidRDefault="0052599A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B68D" w14:textId="77777777" w:rsidR="00510BC8" w:rsidRDefault="00510BC8" w:rsidP="006E648F">
      <w:pPr>
        <w:spacing w:after="0" w:line="240" w:lineRule="auto"/>
      </w:pPr>
      <w:r>
        <w:separator/>
      </w:r>
    </w:p>
  </w:footnote>
  <w:footnote w:type="continuationSeparator" w:id="0">
    <w:p w14:paraId="50416A7D" w14:textId="77777777" w:rsidR="00510BC8" w:rsidRDefault="00510BC8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DFFE" w14:textId="77777777" w:rsidR="005773A2" w:rsidRDefault="00577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B74E" w14:textId="77777777" w:rsidR="005773A2" w:rsidRDefault="00577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23FA" w14:textId="77777777" w:rsidR="0052599A" w:rsidRDefault="00C44CFB" w:rsidP="00060854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470CE575" wp14:editId="54CB9D3C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411C7" w14:textId="77777777" w:rsidR="0052599A" w:rsidRDefault="0052599A" w:rsidP="00060854">
    <w:pPr>
      <w:pStyle w:val="Header"/>
    </w:pPr>
  </w:p>
  <w:p w14:paraId="6F2ABE9B" w14:textId="77777777" w:rsidR="0052599A" w:rsidRDefault="0052599A" w:rsidP="00060854">
    <w:pPr>
      <w:pStyle w:val="Header"/>
    </w:pPr>
  </w:p>
  <w:p w14:paraId="55DF2CCE" w14:textId="77777777" w:rsidR="0052599A" w:rsidRDefault="0052599A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52599A" w:rsidRPr="00A23DE6" w14:paraId="59352C6B" w14:textId="77777777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14:paraId="6DC6B546" w14:textId="77777777" w:rsidR="0052599A" w:rsidRPr="00A23DE6" w:rsidRDefault="0052599A" w:rsidP="006A03BF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14:paraId="7B25217B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14:paraId="5A8270FB" w14:textId="77777777" w:rsidR="0052599A" w:rsidRPr="00A23DE6" w:rsidRDefault="00791B54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 xml:space="preserve">Michael Bennett </w:t>
          </w:r>
        </w:p>
      </w:tc>
    </w:tr>
    <w:tr w:rsidR="0052599A" w:rsidRPr="00A23DE6" w14:paraId="2869272A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67F5D98A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5DA766B6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7A1C3D50" w14:textId="77777777" w:rsidR="0052599A" w:rsidRPr="00A23DE6" w:rsidRDefault="0052599A" w:rsidP="00060043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Pelican</w:t>
          </w:r>
          <w:r w:rsidR="00F44B2E">
            <w:rPr>
              <w:color w:val="566B73"/>
              <w:sz w:val="20"/>
              <w:szCs w:val="20"/>
              <w:lang w:val="en-US"/>
            </w:rPr>
            <w:t xml:space="preserve"> Communicatio</w:t>
          </w:r>
          <w:r w:rsidR="004278D7">
            <w:rPr>
              <w:color w:val="566B73"/>
              <w:sz w:val="20"/>
              <w:szCs w:val="20"/>
              <w:lang w:val="en-US"/>
            </w:rPr>
            <w:t>n</w:t>
          </w:r>
          <w:r w:rsidR="00F44B2E">
            <w:rPr>
              <w:color w:val="566B73"/>
              <w:sz w:val="20"/>
              <w:szCs w:val="20"/>
              <w:lang w:val="en-US"/>
            </w:rPr>
            <w:t>s</w:t>
          </w:r>
        </w:p>
      </w:tc>
    </w:tr>
    <w:tr w:rsidR="0052599A" w:rsidRPr="00AA12CD" w14:paraId="09E850D9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65104EE5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3DAFA2D3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16064741" w14:textId="77777777" w:rsidR="0052599A" w:rsidRPr="00A23DE6" w:rsidRDefault="00F44B2E" w:rsidP="006A03BF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Michael.bennett</w:t>
          </w:r>
          <w:r w:rsidR="001109F5">
            <w:rPr>
              <w:color w:val="566B73"/>
              <w:sz w:val="20"/>
              <w:szCs w:val="20"/>
              <w:lang w:val="en-US"/>
            </w:rPr>
            <w:t>@pelicomms</w:t>
          </w:r>
          <w:r w:rsidR="0052599A">
            <w:rPr>
              <w:color w:val="566B73"/>
              <w:sz w:val="20"/>
              <w:szCs w:val="20"/>
              <w:lang w:val="en-US"/>
            </w:rPr>
            <w:t>.co.uk</w:t>
          </w:r>
        </w:p>
      </w:tc>
    </w:tr>
    <w:tr w:rsidR="0052599A" w:rsidRPr="00F44B2E" w14:paraId="0983A7B1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30724C35" w14:textId="77777777" w:rsidR="0052599A" w:rsidRPr="00A23DE6" w:rsidRDefault="0052599A" w:rsidP="006A03BF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2BE249A6" w14:textId="77777777" w:rsidR="0052599A" w:rsidRPr="00A23DE6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23302838" w14:textId="77777777" w:rsidR="0052599A" w:rsidRPr="00F44B2E" w:rsidRDefault="0052599A" w:rsidP="00CA3254">
          <w:pPr>
            <w:pStyle w:val="Header"/>
            <w:rPr>
              <w:color w:val="566B73"/>
              <w:sz w:val="20"/>
              <w:szCs w:val="20"/>
              <w:lang w:val="en-GB"/>
            </w:rPr>
          </w:pPr>
        </w:p>
      </w:tc>
    </w:tr>
    <w:tr w:rsidR="0052599A" w:rsidRPr="00F44B2E" w14:paraId="254F9CE4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1AC4DF62" w14:textId="77777777" w:rsidR="0052599A" w:rsidRPr="00F44B2E" w:rsidRDefault="0052599A" w:rsidP="006A03BF">
          <w:pPr>
            <w:pStyle w:val="Header"/>
            <w:ind w:left="1026"/>
            <w:rPr>
              <w:lang w:val="en-GB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0DBA8148" w14:textId="77777777" w:rsidR="0052599A" w:rsidRPr="00F44B2E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Number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46FE4FFE" w14:textId="77777777" w:rsidR="0052599A" w:rsidRPr="00F44B2E" w:rsidRDefault="00A87D38" w:rsidP="006A03BF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 w:rsidRPr="00F44B2E">
            <w:rPr>
              <w:color w:val="566B73"/>
              <w:sz w:val="20"/>
              <w:szCs w:val="20"/>
              <w:lang w:val="en-GB"/>
            </w:rPr>
            <w:t>2</w:t>
          </w:r>
        </w:p>
      </w:tc>
    </w:tr>
    <w:tr w:rsidR="0052599A" w:rsidRPr="00F44B2E" w14:paraId="74CD7801" w14:textId="77777777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14:paraId="7A429397" w14:textId="46269014" w:rsidR="0052599A" w:rsidRPr="00F44B2E" w:rsidRDefault="00375DE9" w:rsidP="000A11D7">
          <w:pPr>
            <w:pStyle w:val="Header"/>
            <w:ind w:left="1026"/>
            <w:rPr>
              <w:color w:val="566B73"/>
              <w:sz w:val="28"/>
              <w:szCs w:val="28"/>
              <w:lang w:val="en-GB"/>
            </w:rPr>
          </w:pPr>
          <w:r>
            <w:rPr>
              <w:color w:val="566B73"/>
              <w:sz w:val="28"/>
              <w:szCs w:val="28"/>
              <w:lang w:val="en-GB"/>
            </w:rPr>
            <w:t>2</w:t>
          </w:r>
          <w:r w:rsidR="005773A2">
            <w:rPr>
              <w:color w:val="566B73"/>
              <w:sz w:val="28"/>
              <w:szCs w:val="28"/>
              <w:lang w:val="en-GB"/>
            </w:rPr>
            <w:t>8</w:t>
          </w:r>
          <w:bookmarkStart w:id="0" w:name="_GoBack"/>
          <w:bookmarkEnd w:id="0"/>
          <w:r w:rsidR="00E73499">
            <w:rPr>
              <w:color w:val="566B73"/>
              <w:sz w:val="28"/>
              <w:szCs w:val="28"/>
              <w:vertAlign w:val="superscript"/>
              <w:lang w:val="en-GB"/>
            </w:rPr>
            <w:t>th</w:t>
          </w:r>
          <w:r>
            <w:rPr>
              <w:color w:val="566B73"/>
              <w:sz w:val="28"/>
              <w:szCs w:val="28"/>
              <w:lang w:val="en-GB"/>
            </w:rPr>
            <w:t xml:space="preserve"> March</w:t>
          </w:r>
          <w:r w:rsidR="00F44B2E" w:rsidRPr="00F44B2E">
            <w:rPr>
              <w:color w:val="566B73"/>
              <w:sz w:val="28"/>
              <w:szCs w:val="28"/>
              <w:lang w:val="en-GB"/>
            </w:rPr>
            <w:t xml:space="preserve"> </w:t>
          </w:r>
          <w:r w:rsidR="000A11D7">
            <w:rPr>
              <w:color w:val="566B73"/>
              <w:sz w:val="28"/>
              <w:szCs w:val="28"/>
              <w:lang w:val="en-GB"/>
            </w:rPr>
            <w:t>201</w:t>
          </w:r>
          <w:r w:rsidR="00D52CD1">
            <w:rPr>
              <w:color w:val="566B73"/>
              <w:sz w:val="28"/>
              <w:szCs w:val="28"/>
              <w:lang w:val="en-GB"/>
            </w:rPr>
            <w:t>9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14:paraId="672513F8" w14:textId="77777777" w:rsidR="0052599A" w:rsidRPr="00F44B2E" w:rsidRDefault="0052599A" w:rsidP="006A03BF">
          <w:pPr>
            <w:pStyle w:val="Header"/>
            <w:rPr>
              <w:b/>
              <w:color w:val="566B73"/>
              <w:sz w:val="20"/>
              <w:szCs w:val="20"/>
              <w:lang w:val="en-GB"/>
            </w:rPr>
          </w:pPr>
          <w:r w:rsidRPr="00F44B2E">
            <w:rPr>
              <w:b/>
              <w:color w:val="566B73"/>
              <w:sz w:val="20"/>
              <w:szCs w:val="20"/>
              <w:lang w:val="en-GB"/>
            </w:rPr>
            <w:t>Subject</w:t>
          </w:r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14:paraId="147C04B6" w14:textId="45ECEE8B" w:rsidR="0052599A" w:rsidRPr="00F44B2E" w:rsidRDefault="00044FE6" w:rsidP="009B5A08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>REACH AUTHORISATION CHROMIUM TRIOXIDE</w:t>
          </w:r>
          <w:r w:rsidR="00F44B2E">
            <w:rPr>
              <w:color w:val="566B73"/>
              <w:sz w:val="20"/>
              <w:szCs w:val="20"/>
              <w:lang w:val="en-GB"/>
            </w:rPr>
            <w:t xml:space="preserve"> </w:t>
          </w:r>
        </w:p>
      </w:tc>
    </w:tr>
  </w:tbl>
  <w:p w14:paraId="0981BFEB" w14:textId="77777777" w:rsidR="0052599A" w:rsidRPr="00F44B2E" w:rsidRDefault="0052599A" w:rsidP="00060854">
    <w:pPr>
      <w:pStyle w:val="Header"/>
      <w:rPr>
        <w:lang w:val="en-GB"/>
      </w:rPr>
    </w:pPr>
  </w:p>
  <w:p w14:paraId="51AC5018" w14:textId="77777777" w:rsidR="0052599A" w:rsidRPr="00F44B2E" w:rsidRDefault="0052599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966"/>
    <w:multiLevelType w:val="hybridMultilevel"/>
    <w:tmpl w:val="D3B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5203"/>
    <w:multiLevelType w:val="hybridMultilevel"/>
    <w:tmpl w:val="90D2502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F"/>
    <w:rsid w:val="0000719D"/>
    <w:rsid w:val="00013D70"/>
    <w:rsid w:val="000239E1"/>
    <w:rsid w:val="00031A14"/>
    <w:rsid w:val="0003511E"/>
    <w:rsid w:val="00044FE6"/>
    <w:rsid w:val="00060043"/>
    <w:rsid w:val="00060854"/>
    <w:rsid w:val="00070216"/>
    <w:rsid w:val="00085B13"/>
    <w:rsid w:val="000A0227"/>
    <w:rsid w:val="000A11D7"/>
    <w:rsid w:val="000A46F4"/>
    <w:rsid w:val="000B31EA"/>
    <w:rsid w:val="000C2FA6"/>
    <w:rsid w:val="000C6178"/>
    <w:rsid w:val="000C6D97"/>
    <w:rsid w:val="000F599E"/>
    <w:rsid w:val="000F6B2C"/>
    <w:rsid w:val="00107B51"/>
    <w:rsid w:val="001109F5"/>
    <w:rsid w:val="00111CC6"/>
    <w:rsid w:val="00112E18"/>
    <w:rsid w:val="0012325F"/>
    <w:rsid w:val="00143C71"/>
    <w:rsid w:val="001774DF"/>
    <w:rsid w:val="001A6A8E"/>
    <w:rsid w:val="001B4CA1"/>
    <w:rsid w:val="001D0618"/>
    <w:rsid w:val="001F069D"/>
    <w:rsid w:val="00203CDF"/>
    <w:rsid w:val="0021133D"/>
    <w:rsid w:val="00224BB5"/>
    <w:rsid w:val="002274C2"/>
    <w:rsid w:val="00233F10"/>
    <w:rsid w:val="00237102"/>
    <w:rsid w:val="00240600"/>
    <w:rsid w:val="00244B3A"/>
    <w:rsid w:val="00260DF7"/>
    <w:rsid w:val="00262D57"/>
    <w:rsid w:val="00263AE9"/>
    <w:rsid w:val="002725B7"/>
    <w:rsid w:val="00292C78"/>
    <w:rsid w:val="002A72D6"/>
    <w:rsid w:val="002C2AAA"/>
    <w:rsid w:val="002C422D"/>
    <w:rsid w:val="002C6DB4"/>
    <w:rsid w:val="002D2C39"/>
    <w:rsid w:val="00317152"/>
    <w:rsid w:val="00350194"/>
    <w:rsid w:val="00356245"/>
    <w:rsid w:val="00362DA1"/>
    <w:rsid w:val="00363C4D"/>
    <w:rsid w:val="00363D48"/>
    <w:rsid w:val="00366E33"/>
    <w:rsid w:val="00375DE9"/>
    <w:rsid w:val="00386984"/>
    <w:rsid w:val="00387184"/>
    <w:rsid w:val="00391472"/>
    <w:rsid w:val="003928B9"/>
    <w:rsid w:val="003A1B85"/>
    <w:rsid w:val="003A7983"/>
    <w:rsid w:val="003C034E"/>
    <w:rsid w:val="003F424B"/>
    <w:rsid w:val="003F5288"/>
    <w:rsid w:val="003F6774"/>
    <w:rsid w:val="00413A56"/>
    <w:rsid w:val="00420D73"/>
    <w:rsid w:val="004248AB"/>
    <w:rsid w:val="004278D7"/>
    <w:rsid w:val="0047410E"/>
    <w:rsid w:val="00484443"/>
    <w:rsid w:val="00490861"/>
    <w:rsid w:val="00495B42"/>
    <w:rsid w:val="004A32D7"/>
    <w:rsid w:val="004A48E1"/>
    <w:rsid w:val="004B5CF9"/>
    <w:rsid w:val="004C32B8"/>
    <w:rsid w:val="004D19E5"/>
    <w:rsid w:val="004E3C03"/>
    <w:rsid w:val="004E7405"/>
    <w:rsid w:val="00500310"/>
    <w:rsid w:val="00510BC8"/>
    <w:rsid w:val="00516C2A"/>
    <w:rsid w:val="00516F06"/>
    <w:rsid w:val="00521041"/>
    <w:rsid w:val="0052599A"/>
    <w:rsid w:val="005341F9"/>
    <w:rsid w:val="00557AB7"/>
    <w:rsid w:val="005773A2"/>
    <w:rsid w:val="00587448"/>
    <w:rsid w:val="005A4003"/>
    <w:rsid w:val="005B2B94"/>
    <w:rsid w:val="005E24E5"/>
    <w:rsid w:val="005E5C01"/>
    <w:rsid w:val="005E7F11"/>
    <w:rsid w:val="005F0916"/>
    <w:rsid w:val="005F3F30"/>
    <w:rsid w:val="005F5C7F"/>
    <w:rsid w:val="00613DBB"/>
    <w:rsid w:val="006153C0"/>
    <w:rsid w:val="00623899"/>
    <w:rsid w:val="0062623C"/>
    <w:rsid w:val="0063468D"/>
    <w:rsid w:val="00635CAD"/>
    <w:rsid w:val="00651612"/>
    <w:rsid w:val="0065523F"/>
    <w:rsid w:val="00655FAF"/>
    <w:rsid w:val="006560DE"/>
    <w:rsid w:val="006577DF"/>
    <w:rsid w:val="00673D0D"/>
    <w:rsid w:val="00673E7A"/>
    <w:rsid w:val="00681C52"/>
    <w:rsid w:val="0068354F"/>
    <w:rsid w:val="00686359"/>
    <w:rsid w:val="006963D9"/>
    <w:rsid w:val="006A03BF"/>
    <w:rsid w:val="006A4776"/>
    <w:rsid w:val="006B3EF1"/>
    <w:rsid w:val="006B42A9"/>
    <w:rsid w:val="006B47E9"/>
    <w:rsid w:val="006B52AB"/>
    <w:rsid w:val="006C38CC"/>
    <w:rsid w:val="006D2B21"/>
    <w:rsid w:val="006E2C27"/>
    <w:rsid w:val="006E33D9"/>
    <w:rsid w:val="006E53AF"/>
    <w:rsid w:val="006E648F"/>
    <w:rsid w:val="006F05FF"/>
    <w:rsid w:val="006F13E3"/>
    <w:rsid w:val="006F6634"/>
    <w:rsid w:val="0071283D"/>
    <w:rsid w:val="00714438"/>
    <w:rsid w:val="007218F6"/>
    <w:rsid w:val="00724F1C"/>
    <w:rsid w:val="00756845"/>
    <w:rsid w:val="00760A6D"/>
    <w:rsid w:val="007627C8"/>
    <w:rsid w:val="00766DBD"/>
    <w:rsid w:val="007749BE"/>
    <w:rsid w:val="00791B54"/>
    <w:rsid w:val="0079203E"/>
    <w:rsid w:val="00794EA0"/>
    <w:rsid w:val="007B2840"/>
    <w:rsid w:val="007C3DB0"/>
    <w:rsid w:val="008210D1"/>
    <w:rsid w:val="00857154"/>
    <w:rsid w:val="00857858"/>
    <w:rsid w:val="00872125"/>
    <w:rsid w:val="00886D91"/>
    <w:rsid w:val="00886D98"/>
    <w:rsid w:val="00892626"/>
    <w:rsid w:val="00892F7C"/>
    <w:rsid w:val="008A63ED"/>
    <w:rsid w:val="008A731B"/>
    <w:rsid w:val="008B36EA"/>
    <w:rsid w:val="008D1DDD"/>
    <w:rsid w:val="008E3B03"/>
    <w:rsid w:val="008F5799"/>
    <w:rsid w:val="009062D1"/>
    <w:rsid w:val="0091007B"/>
    <w:rsid w:val="009140D8"/>
    <w:rsid w:val="0091610F"/>
    <w:rsid w:val="00923F97"/>
    <w:rsid w:val="00951635"/>
    <w:rsid w:val="00955E94"/>
    <w:rsid w:val="00957C51"/>
    <w:rsid w:val="0097154B"/>
    <w:rsid w:val="00974847"/>
    <w:rsid w:val="00981B24"/>
    <w:rsid w:val="00985C16"/>
    <w:rsid w:val="00992B16"/>
    <w:rsid w:val="009952DA"/>
    <w:rsid w:val="009A1DF6"/>
    <w:rsid w:val="009B5A08"/>
    <w:rsid w:val="009C156C"/>
    <w:rsid w:val="009C3E16"/>
    <w:rsid w:val="009C7B4C"/>
    <w:rsid w:val="009E1644"/>
    <w:rsid w:val="009E5484"/>
    <w:rsid w:val="009F56C3"/>
    <w:rsid w:val="009F659F"/>
    <w:rsid w:val="00A00DB5"/>
    <w:rsid w:val="00A16924"/>
    <w:rsid w:val="00A23DE6"/>
    <w:rsid w:val="00A3159A"/>
    <w:rsid w:val="00A31EBA"/>
    <w:rsid w:val="00A32A03"/>
    <w:rsid w:val="00A400FC"/>
    <w:rsid w:val="00A44D6A"/>
    <w:rsid w:val="00A51895"/>
    <w:rsid w:val="00A61970"/>
    <w:rsid w:val="00A62DCD"/>
    <w:rsid w:val="00A6414C"/>
    <w:rsid w:val="00A76E35"/>
    <w:rsid w:val="00A87D38"/>
    <w:rsid w:val="00A96104"/>
    <w:rsid w:val="00AA12CD"/>
    <w:rsid w:val="00AA1A3E"/>
    <w:rsid w:val="00AB3711"/>
    <w:rsid w:val="00AC1E8C"/>
    <w:rsid w:val="00AC6FA9"/>
    <w:rsid w:val="00AF34E0"/>
    <w:rsid w:val="00AF4A29"/>
    <w:rsid w:val="00B01D7E"/>
    <w:rsid w:val="00B01EB7"/>
    <w:rsid w:val="00B0783A"/>
    <w:rsid w:val="00B14CC9"/>
    <w:rsid w:val="00B2696F"/>
    <w:rsid w:val="00B5320C"/>
    <w:rsid w:val="00B778FB"/>
    <w:rsid w:val="00B82C2F"/>
    <w:rsid w:val="00B848B5"/>
    <w:rsid w:val="00BB4A08"/>
    <w:rsid w:val="00BC32EB"/>
    <w:rsid w:val="00BE065B"/>
    <w:rsid w:val="00BE3052"/>
    <w:rsid w:val="00C011DD"/>
    <w:rsid w:val="00C10471"/>
    <w:rsid w:val="00C21961"/>
    <w:rsid w:val="00C24D2A"/>
    <w:rsid w:val="00C26092"/>
    <w:rsid w:val="00C327D4"/>
    <w:rsid w:val="00C33B36"/>
    <w:rsid w:val="00C44CFB"/>
    <w:rsid w:val="00C51A9F"/>
    <w:rsid w:val="00C62233"/>
    <w:rsid w:val="00C7243C"/>
    <w:rsid w:val="00C76250"/>
    <w:rsid w:val="00C93B4D"/>
    <w:rsid w:val="00C9783F"/>
    <w:rsid w:val="00CA3254"/>
    <w:rsid w:val="00CA6DD4"/>
    <w:rsid w:val="00CB0DAA"/>
    <w:rsid w:val="00CE0C6B"/>
    <w:rsid w:val="00CF6447"/>
    <w:rsid w:val="00CF791D"/>
    <w:rsid w:val="00D240DF"/>
    <w:rsid w:val="00D3177E"/>
    <w:rsid w:val="00D52CD1"/>
    <w:rsid w:val="00D53818"/>
    <w:rsid w:val="00D551A2"/>
    <w:rsid w:val="00D5624E"/>
    <w:rsid w:val="00D563C9"/>
    <w:rsid w:val="00D654E1"/>
    <w:rsid w:val="00D70E10"/>
    <w:rsid w:val="00D725BE"/>
    <w:rsid w:val="00D8640B"/>
    <w:rsid w:val="00D91A89"/>
    <w:rsid w:val="00D94ED8"/>
    <w:rsid w:val="00DB0EEC"/>
    <w:rsid w:val="00DB6375"/>
    <w:rsid w:val="00DC3CFF"/>
    <w:rsid w:val="00DC7E2A"/>
    <w:rsid w:val="00E00E71"/>
    <w:rsid w:val="00E01C35"/>
    <w:rsid w:val="00E01EAD"/>
    <w:rsid w:val="00E02681"/>
    <w:rsid w:val="00E2602B"/>
    <w:rsid w:val="00E27CFC"/>
    <w:rsid w:val="00E45446"/>
    <w:rsid w:val="00E51073"/>
    <w:rsid w:val="00E5368E"/>
    <w:rsid w:val="00E54034"/>
    <w:rsid w:val="00E675E9"/>
    <w:rsid w:val="00E719E7"/>
    <w:rsid w:val="00E73499"/>
    <w:rsid w:val="00E8096E"/>
    <w:rsid w:val="00E92D85"/>
    <w:rsid w:val="00E941B4"/>
    <w:rsid w:val="00EA1D3A"/>
    <w:rsid w:val="00EB523B"/>
    <w:rsid w:val="00ED3F35"/>
    <w:rsid w:val="00EF37D0"/>
    <w:rsid w:val="00F244E5"/>
    <w:rsid w:val="00F408BA"/>
    <w:rsid w:val="00F420BC"/>
    <w:rsid w:val="00F4363F"/>
    <w:rsid w:val="00F44B2E"/>
    <w:rsid w:val="00F44C3B"/>
    <w:rsid w:val="00F564B4"/>
    <w:rsid w:val="00F64B78"/>
    <w:rsid w:val="00F672C5"/>
    <w:rsid w:val="00FB5F84"/>
    <w:rsid w:val="00FC332F"/>
    <w:rsid w:val="00FD7AED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4BF0E41"/>
  <w15:docId w15:val="{7D601091-8ABB-4562-9318-AE672BE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C6DB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C2F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2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2FA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2FA6"/>
    <w:rPr>
      <w:rFonts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92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A96104"/>
  </w:style>
  <w:style w:type="character" w:customStyle="1" w:styleId="FootnoteTextChar1">
    <w:name w:val="Footnote Text Char1"/>
    <w:basedOn w:val="DefaultParagraphFont"/>
    <w:uiPriority w:val="99"/>
    <w:semiHidden/>
    <w:rsid w:val="00651612"/>
    <w:rPr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5">
          <w:marLeft w:val="0"/>
          <w:marRight w:val="0"/>
          <w:marTop w:val="0"/>
          <w:marBottom w:val="75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13741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ennett@pelicomms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elforpackag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pea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.mobbs@apeal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D6DE-B5CC-414E-9481-F6BFE8EF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394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APEAL PLANS TO ‘STEEL’ THE SHOW AT INTERPACK</vt:lpstr>
      <vt:lpstr>APEAL PLANS TO ‘STEEL’ THE SHOW AT INTERPACK</vt:lpstr>
    </vt:vector>
  </TitlesOfParts>
  <Company>Morris&amp;Chappman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APEAL PLANS TO ‘STEEL’ THE SHOW AT INTERPACK</dc:title>
  <dc:creator>Thierry</dc:creator>
  <cp:lastModifiedBy>Michael.Bennett@PELICAN.local</cp:lastModifiedBy>
  <cp:revision>14</cp:revision>
  <cp:lastPrinted>2019-03-21T11:29:00Z</cp:lastPrinted>
  <dcterms:created xsi:type="dcterms:W3CDTF">2019-03-28T09:59:00Z</dcterms:created>
  <dcterms:modified xsi:type="dcterms:W3CDTF">2019-03-29T15:24:00Z</dcterms:modified>
</cp:coreProperties>
</file>